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6" w:rsidRDefault="00B539C6" w:rsidP="00B539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" w:right="2032" w:hanging="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Список вчителів </w:t>
      </w:r>
      <w:proofErr w:type="spellStart"/>
      <w:r>
        <w:rPr>
          <w:rFonts w:ascii="Times" w:eastAsia="Times" w:hAnsi="Times" w:cs="Times"/>
          <w:b/>
          <w:color w:val="000000"/>
          <w:sz w:val="27"/>
          <w:szCs w:val="27"/>
        </w:rPr>
        <w:t>Вовчинецької</w:t>
      </w:r>
      <w:proofErr w:type="spellEnd"/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 гімназії, які атестуються </w:t>
      </w:r>
    </w:p>
    <w:p w:rsidR="00B539C6" w:rsidRDefault="00B539C6" w:rsidP="00B539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1" w:right="2032" w:hanging="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в 2024-2025 р.</w:t>
      </w:r>
    </w:p>
    <w:tbl>
      <w:tblPr>
        <w:tblW w:w="11341" w:type="dxa"/>
        <w:tblInd w:w="-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09"/>
        <w:gridCol w:w="2836"/>
        <w:gridCol w:w="2976"/>
        <w:gridCol w:w="4820"/>
      </w:tblGrid>
      <w:tr w:rsidR="00B539C6" w:rsidTr="003B3823">
        <w:trPr>
          <w:cantSplit/>
          <w:trHeight w:val="652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  <w:t xml:space="preserve">№  </w:t>
            </w:r>
          </w:p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  <w:t xml:space="preserve">п/п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  <w:t xml:space="preserve">ПІБ вчителів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  <w:t>Посада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b/>
                <w:color w:val="000000"/>
                <w:sz w:val="27"/>
                <w:szCs w:val="27"/>
              </w:rPr>
              <w:t>На що атестується</w:t>
            </w:r>
          </w:p>
        </w:tc>
      </w:tr>
      <w:tr w:rsidR="00B539C6" w:rsidRPr="00B539C6" w:rsidTr="003B3823">
        <w:trPr>
          <w:cantSplit/>
          <w:trHeight w:val="972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1.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Городинський</w:t>
            </w:r>
            <w:proofErr w:type="spellEnd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Андрій Михайлович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учитель фізичної культури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02411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п</w:t>
            </w:r>
            <w:r w:rsidRPr="0002411B"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ідтвердження  </w:t>
            </w:r>
          </w:p>
          <w:p w:rsidR="00B539C6" w:rsidRPr="0002411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 w:rsidRPr="0002411B">
              <w:rPr>
                <w:rFonts w:ascii="Times" w:eastAsia="Times" w:hAnsi="Times" w:cs="Times"/>
                <w:color w:val="000000"/>
                <w:sz w:val="27"/>
                <w:szCs w:val="27"/>
              </w:rPr>
              <w:t>кваліфікаційної категорії  «спеціаліст вищої  категорії</w:t>
            </w: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та педагогічного звання «старший учитель</w:t>
            </w:r>
          </w:p>
        </w:tc>
      </w:tr>
      <w:tr w:rsidR="00B539C6" w:rsidRPr="00B539C6" w:rsidTr="003B3823">
        <w:trPr>
          <w:cantSplit/>
          <w:trHeight w:val="918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2.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Білінська</w:t>
            </w:r>
            <w:proofErr w:type="spellEnd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Оксана Михайлівна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1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Учитель початкових класів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02411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п</w:t>
            </w:r>
            <w:r w:rsidRPr="0002411B"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ідтвердження  </w:t>
            </w:r>
          </w:p>
          <w:p w:rsidR="00B539C6" w:rsidRPr="0002411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 w:rsidRPr="0002411B">
              <w:rPr>
                <w:rFonts w:ascii="Times" w:eastAsia="Times" w:hAnsi="Times" w:cs="Times"/>
                <w:color w:val="000000"/>
                <w:sz w:val="27"/>
                <w:szCs w:val="27"/>
              </w:rPr>
              <w:t>кваліфікаційної категорії  «спеціаліст вищої  категорії</w:t>
            </w: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та педагогічного звання «старший учитель</w:t>
            </w:r>
          </w:p>
        </w:tc>
      </w:tr>
      <w:tr w:rsidR="00B539C6" w:rsidRPr="00B539C6" w:rsidTr="003B3823">
        <w:trPr>
          <w:cantSplit/>
          <w:trHeight w:val="906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3.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8" w:right="206"/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Федьків Любов Богданівна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0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Учитель початкових класів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0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присвоєння  кваліфікаційної</w:t>
            </w:r>
            <w:r w:rsidRPr="00C64A7B"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 категорію «спеціаліст  </w:t>
            </w: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ІІ </w:t>
            </w:r>
            <w:r w:rsidRPr="00C64A7B">
              <w:rPr>
                <w:rFonts w:ascii="Times" w:eastAsia="Times" w:hAnsi="Times" w:cs="Times"/>
                <w:color w:val="000000"/>
                <w:sz w:val="27"/>
                <w:szCs w:val="27"/>
              </w:rPr>
              <w:t>категорії»</w:t>
            </w:r>
          </w:p>
        </w:tc>
      </w:tr>
      <w:tr w:rsidR="00B539C6" w:rsidRPr="00B539C6" w:rsidTr="003B3823">
        <w:trPr>
          <w:cantSplit/>
          <w:trHeight w:val="922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6E5368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4.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78" w:right="206"/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Гуламирян</w:t>
            </w:r>
            <w:proofErr w:type="spellEnd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Ірина Геннадіївна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0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Соціальний педагог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0" w:lineRule="auto"/>
              <w:ind w:left="119" w:right="39" w:hanging="2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підтвердження кваліфікаційної категорії «спеціаліст І  категорії»</w:t>
            </w:r>
          </w:p>
        </w:tc>
      </w:tr>
      <w:tr w:rsidR="00B539C6" w:rsidTr="003B3823">
        <w:trPr>
          <w:cantSplit/>
          <w:trHeight w:val="642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6E5368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5.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Базилів</w:t>
            </w:r>
            <w:proofErr w:type="spellEnd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Галина Василівна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Асистент учителя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4C73DE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встановлення 11 тарифного розряду</w:t>
            </w:r>
          </w:p>
        </w:tc>
      </w:tr>
      <w:tr w:rsidR="00B539C6" w:rsidTr="003B3823">
        <w:trPr>
          <w:cantSplit/>
          <w:trHeight w:val="640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4C73DE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Джердж</w:t>
            </w:r>
            <w:proofErr w:type="spellEnd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 Надія </w:t>
            </w: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Грирорівна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Асистент учителя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4C73DE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встановлення 11 тарифного розряду</w:t>
            </w:r>
          </w:p>
        </w:tc>
      </w:tr>
      <w:tr w:rsidR="00B539C6" w:rsidTr="003B3823">
        <w:trPr>
          <w:cantSplit/>
          <w:trHeight w:val="640"/>
          <w:tblHeader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7.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4C73DE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93" w:right="216"/>
              <w:jc w:val="center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 xml:space="preserve">Зад Валентина </w:t>
            </w:r>
            <w:proofErr w:type="spellStart"/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Константинівна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C64A7B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Асистент учителя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9C6" w:rsidRPr="004C73DE" w:rsidRDefault="00B539C6" w:rsidP="003B382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38"/>
              <w:jc w:val="both"/>
              <w:rPr>
                <w:rFonts w:ascii="Times" w:eastAsia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</w:rPr>
              <w:t>На встановлення 11 тарифного розряду</w:t>
            </w:r>
          </w:p>
        </w:tc>
      </w:tr>
    </w:tbl>
    <w:p w:rsidR="00B539C6" w:rsidRDefault="00B539C6" w:rsidP="00B539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539C6" w:rsidRDefault="00B539C6" w:rsidP="00B539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539C6" w:rsidRDefault="00B539C6" w:rsidP="00B539C6">
      <w:pPr>
        <w:pStyle w:val="1"/>
        <w:ind w:hanging="2"/>
        <w:rPr>
          <w:b/>
        </w:rPr>
      </w:pPr>
    </w:p>
    <w:p w:rsidR="00B539C6" w:rsidRDefault="00B539C6" w:rsidP="00B539C6">
      <w:pPr>
        <w:pStyle w:val="1"/>
        <w:ind w:hanging="2"/>
        <w:jc w:val="right"/>
        <w:rPr>
          <w:b/>
        </w:rPr>
      </w:pPr>
    </w:p>
    <w:p w:rsidR="00B539C6" w:rsidRDefault="00B539C6" w:rsidP="00B539C6">
      <w:pPr>
        <w:pStyle w:val="1"/>
        <w:ind w:hanging="2"/>
        <w:jc w:val="right"/>
        <w:rPr>
          <w:b/>
        </w:rPr>
      </w:pPr>
    </w:p>
    <w:p w:rsidR="00B539C6" w:rsidRDefault="00B539C6" w:rsidP="00B539C6">
      <w:pPr>
        <w:pStyle w:val="1"/>
        <w:ind w:hanging="2"/>
        <w:jc w:val="right"/>
        <w:rPr>
          <w:b/>
        </w:rPr>
      </w:pPr>
    </w:p>
    <w:p w:rsidR="00B539C6" w:rsidRDefault="00B539C6" w:rsidP="00B539C6">
      <w:pPr>
        <w:pStyle w:val="1"/>
        <w:ind w:hanging="2"/>
        <w:jc w:val="right"/>
        <w:rPr>
          <w:b/>
        </w:rPr>
      </w:pPr>
    </w:p>
    <w:p w:rsidR="00B539C6" w:rsidRPr="000F2111" w:rsidRDefault="00B539C6" w:rsidP="00B539C6">
      <w:pPr>
        <w:pStyle w:val="1"/>
        <w:ind w:hanging="2"/>
        <w:rPr>
          <w:sz w:val="28"/>
          <w:szCs w:val="28"/>
        </w:rPr>
      </w:pPr>
      <w:r w:rsidRPr="000F2111">
        <w:rPr>
          <w:sz w:val="28"/>
          <w:szCs w:val="28"/>
        </w:rPr>
        <w:t xml:space="preserve">Директор гімназії ___________  </w:t>
      </w:r>
      <w:r>
        <w:rPr>
          <w:sz w:val="28"/>
          <w:szCs w:val="28"/>
        </w:rPr>
        <w:t>Петро ПАВЛЮК</w:t>
      </w:r>
    </w:p>
    <w:p w:rsidR="00B539C6" w:rsidRPr="000F2111" w:rsidRDefault="00B539C6" w:rsidP="00B539C6">
      <w:pPr>
        <w:pStyle w:val="1"/>
        <w:ind w:hanging="2"/>
        <w:rPr>
          <w:sz w:val="28"/>
          <w:szCs w:val="28"/>
        </w:rPr>
      </w:pPr>
    </w:p>
    <w:p w:rsidR="00B539C6" w:rsidRPr="000F2111" w:rsidRDefault="00B539C6" w:rsidP="00B539C6">
      <w:pPr>
        <w:pStyle w:val="1"/>
        <w:ind w:hanging="2"/>
        <w:rPr>
          <w:sz w:val="28"/>
          <w:szCs w:val="28"/>
        </w:rPr>
      </w:pPr>
    </w:p>
    <w:p w:rsidR="00FD29CE" w:rsidRDefault="00FD29CE" w:rsidP="00B539C6">
      <w:pPr>
        <w:ind w:left="0" w:hanging="2"/>
      </w:pPr>
    </w:p>
    <w:sectPr w:rsidR="00FD29CE" w:rsidSect="00FD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C6"/>
    <w:rsid w:val="00B539C6"/>
    <w:rsid w:val="00FD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9C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B5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2024-11-10T13:34:00Z</dcterms:created>
  <dcterms:modified xsi:type="dcterms:W3CDTF">2024-11-10T13:36:00Z</dcterms:modified>
</cp:coreProperties>
</file>